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1B9F">
      <w:pPr>
        <w:pStyle w:val="9"/>
        <w:tabs>
          <w:tab w:val="left" w:pos="2520"/>
        </w:tabs>
        <w:spacing w:before="312" w:beforeLines="100" w:line="3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二十</w:t>
      </w: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届</w:t>
      </w:r>
      <w:r>
        <w:rPr>
          <w:rFonts w:hint="eastAsia" w:ascii="Times New Roman" w:hAnsi="Times New Roman" w:eastAsia="黑体" w:cs="Times New Roman"/>
          <w:sz w:val="32"/>
          <w:szCs w:val="32"/>
        </w:rPr>
        <w:t>西南交通大学</w:t>
      </w:r>
      <w:r>
        <w:rPr>
          <w:rFonts w:ascii="Times New Roman" w:hAnsi="Times New Roman" w:eastAsia="黑体" w:cs="Times New Roman"/>
          <w:sz w:val="32"/>
          <w:szCs w:val="32"/>
        </w:rPr>
        <w:t>交通</w:t>
      </w:r>
      <w:r>
        <w:rPr>
          <w:rFonts w:hint="eastAsia" w:ascii="Times New Roman" w:hAnsi="Times New Roman" w:eastAsia="黑体" w:cs="Times New Roman"/>
          <w:sz w:val="32"/>
          <w:szCs w:val="32"/>
        </w:rPr>
        <w:t>运输</w:t>
      </w:r>
      <w:r>
        <w:rPr>
          <w:rFonts w:ascii="Times New Roman" w:hAnsi="Times New Roman" w:eastAsia="黑体" w:cs="Times New Roman"/>
          <w:sz w:val="32"/>
          <w:szCs w:val="32"/>
        </w:rPr>
        <w:t>科技大赛</w:t>
      </w:r>
    </w:p>
    <w:p w14:paraId="13E868E6">
      <w:pPr>
        <w:pStyle w:val="9"/>
        <w:tabs>
          <w:tab w:val="left" w:pos="2520"/>
        </w:tabs>
        <w:spacing w:after="156" w:afterLines="50" w:line="3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参赛作品说明书格式规范</w:t>
      </w:r>
    </w:p>
    <w:p w14:paraId="560CF3A1"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14:paraId="49EB4A8B"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全文控制在6页A4纸以内，不加封面。采用Word 2007及以上版本编排，所用照片的像素控制在600*400以内，照片、CAD图或建模图插在文档中（电子版不超过10M）。说明文档按以下顺序编排：</w:t>
      </w:r>
    </w:p>
    <w:p w14:paraId="62979547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1）竞赛小组（首页左上角）</w:t>
      </w:r>
    </w:p>
    <w:p w14:paraId="6C46BC60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2）</w:t>
      </w:r>
      <w:r>
        <w:rPr>
          <w:rFonts w:eastAsia="仿宋_GB2312"/>
          <w:kern w:val="0"/>
          <w:sz w:val="24"/>
        </w:rPr>
        <w:t>作品名；</w:t>
      </w:r>
    </w:p>
    <w:p w14:paraId="70B5AB2E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3</w:t>
      </w:r>
      <w:r>
        <w:rPr>
          <w:rFonts w:eastAsia="仿宋_GB2312"/>
          <w:kern w:val="0"/>
          <w:sz w:val="24"/>
        </w:rPr>
        <w:t>）作者；</w:t>
      </w:r>
    </w:p>
    <w:p w14:paraId="0474EABE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4</w:t>
      </w:r>
      <w:r>
        <w:rPr>
          <w:rFonts w:eastAsia="仿宋_GB2312"/>
          <w:kern w:val="0"/>
          <w:sz w:val="24"/>
        </w:rPr>
        <w:t>）指导教师；</w:t>
      </w:r>
    </w:p>
    <w:p w14:paraId="145E2536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5</w:t>
      </w:r>
      <w:r>
        <w:rPr>
          <w:rFonts w:eastAsia="仿宋_GB2312"/>
          <w:kern w:val="0"/>
          <w:sz w:val="24"/>
        </w:rPr>
        <w:t>）学校名＋院系名＋学校所在城市＋邮编；</w:t>
      </w:r>
    </w:p>
    <w:p w14:paraId="7AC64634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）摘要；</w:t>
      </w:r>
    </w:p>
    <w:p w14:paraId="238044EF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）关键词；</w:t>
      </w:r>
    </w:p>
    <w:p w14:paraId="0AE14B09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8</w:t>
      </w:r>
      <w:r>
        <w:rPr>
          <w:rFonts w:eastAsia="仿宋_GB2312"/>
          <w:kern w:val="0"/>
          <w:sz w:val="24"/>
        </w:rPr>
        <w:t>）正文；</w:t>
      </w:r>
    </w:p>
    <w:p w14:paraId="00085351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>9</w:t>
      </w:r>
      <w:r>
        <w:rPr>
          <w:rFonts w:eastAsia="仿宋_GB2312"/>
          <w:kern w:val="0"/>
          <w:sz w:val="24"/>
        </w:rPr>
        <w:t>）参考文献</w:t>
      </w:r>
    </w:p>
    <w:p w14:paraId="5A7102FF"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正文可自行组织，但应包括下列内容：研究背景（含国内外研究现状）、设计原理（原理、关键技术的描述）、创新特色、应用前景。模型全景照片及总体结构CAD图可放在参考文献后，局部图可插入正文中。</w:t>
      </w:r>
    </w:p>
    <w:p w14:paraId="3C8CCFCC"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2．页面要求</w:t>
      </w:r>
    </w:p>
    <w:p w14:paraId="010CA073"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A4页面。页边距：上、下2cm，左、右各2.5cm。正文采用小四号宋体，首行缩进，标准字间距，1.3倍行间距。不要设置页眉，阿拉伯数字页码位于页面底部居中。</w:t>
      </w:r>
    </w:p>
    <w:p w14:paraId="5C741F5C"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3．图表要求</w:t>
      </w:r>
    </w:p>
    <w:p w14:paraId="6DE4067B"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插图按序编号，并加图名（位于图下方）五号宋体，采用嵌入型版式。图中文字用小五号宋体，符号用小五号Times New Roman（矢量、矩阵用黑斜体）；坐标图的横纵坐标应标注对应量的名称和符号/单位。</w:t>
      </w:r>
    </w:p>
    <w:p w14:paraId="5FD97DDD">
      <w:pPr>
        <w:widowControl/>
        <w:snapToGrid w:val="0"/>
        <w:spacing w:line="360" w:lineRule="exact"/>
        <w:ind w:left="540" w:leftChars="257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表格按序编号，并加表题（位于表上方）五号宋体。采用三线表，必要时可加辅助线。</w:t>
      </w:r>
    </w:p>
    <w:p w14:paraId="35BE77C1">
      <w:pPr>
        <w:widowControl/>
        <w:snapToGrid w:val="0"/>
        <w:spacing w:before="156" w:beforeLines="50" w:after="156" w:afterLines="50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4．字号、字体范例</w:t>
      </w:r>
    </w:p>
    <w:p w14:paraId="6704F33D">
      <w:pPr>
        <w:spacing w:before="156" w:after="156" w:line="312" w:lineRule="auto"/>
        <w:ind w:firstLine="723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竞赛小组：</w:t>
      </w:r>
      <w:r>
        <w:rPr>
          <w:rFonts w:hint="eastAsia" w:ascii="宋体" w:hAnsi="宋体"/>
          <w:bCs/>
          <w:sz w:val="24"/>
          <w:szCs w:val="24"/>
        </w:rPr>
        <w:t>E-铁路运输与工程</w:t>
      </w:r>
    </w:p>
    <w:p w14:paraId="43F459FB">
      <w:pPr>
        <w:widowControl/>
        <w:snapToGrid w:val="0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基于××</w:t>
      </w:r>
      <w:r>
        <w:rPr>
          <w:rFonts w:hint="eastAsia" w:eastAsia="黑体"/>
          <w:b/>
          <w:kern w:val="0"/>
          <w:sz w:val="32"/>
          <w:szCs w:val="32"/>
        </w:rPr>
        <w:t>的城际列车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hint="eastAsia" w:eastAsia="黑体"/>
          <w:b/>
          <w:kern w:val="0"/>
          <w:sz w:val="32"/>
          <w:szCs w:val="32"/>
        </w:rPr>
        <w:t>与</w:t>
      </w:r>
      <w:r>
        <w:rPr>
          <w:rFonts w:eastAsia="黑体"/>
          <w:b/>
          <w:kern w:val="0"/>
          <w:sz w:val="32"/>
          <w:szCs w:val="32"/>
        </w:rPr>
        <w:t>××</w:t>
      </w:r>
      <w:r>
        <w:rPr>
          <w:rFonts w:hint="eastAsia" w:eastAsia="黑体"/>
          <w:b/>
          <w:kern w:val="0"/>
          <w:sz w:val="32"/>
          <w:szCs w:val="32"/>
        </w:rPr>
        <w:t>优化</w:t>
      </w:r>
    </w:p>
    <w:p w14:paraId="102CBE77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作者：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1F938B43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7A524D5F">
      <w:pPr>
        <w:widowControl/>
        <w:snapToGrid w:val="0"/>
        <w:jc w:val="center"/>
        <w:rPr>
          <w:kern w:val="0"/>
          <w:sz w:val="24"/>
        </w:rPr>
      </w:pPr>
      <w:r>
        <w:rPr>
          <w:rFonts w:hAnsi="Calibri"/>
          <w:kern w:val="0"/>
          <w:sz w:val="24"/>
        </w:rPr>
        <w:t>（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大学</w:t>
      </w:r>
      <w:r>
        <w:rPr>
          <w:kern w:val="0"/>
          <w:sz w:val="24"/>
          <w:vertAlign w:val="superscript"/>
        </w:rPr>
        <w:t>1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学院，</w:t>
      </w:r>
      <w:r>
        <w:rPr>
          <w:kern w:val="0"/>
          <w:sz w:val="24"/>
          <w:vertAlign w:val="superscript"/>
        </w:rPr>
        <w:t>2</w:t>
      </w:r>
      <w:r>
        <w:rPr>
          <w:kern w:val="0"/>
          <w:sz w:val="24"/>
        </w:rPr>
        <w:t xml:space="preserve"> XX</w:t>
      </w:r>
      <w:r>
        <w:rPr>
          <w:rFonts w:hAnsi="Calibri"/>
          <w:kern w:val="0"/>
          <w:sz w:val="24"/>
        </w:rPr>
        <w:t>学院</w:t>
      </w:r>
      <w:r>
        <w:rPr>
          <w:rFonts w:hint="eastAsia" w:hAnsi="Calibri"/>
          <w:kern w:val="0"/>
          <w:sz w:val="24"/>
        </w:rPr>
        <w:t xml:space="preserve"> 广东江门</w:t>
      </w:r>
      <w:r>
        <w:rPr>
          <w:rFonts w:hint="eastAsia"/>
          <w:kern w:val="0"/>
          <w:sz w:val="24"/>
        </w:rPr>
        <w:t>529020</w:t>
      </w:r>
      <w:r>
        <w:rPr>
          <w:rFonts w:hAnsi="Calibri"/>
          <w:kern w:val="0"/>
          <w:sz w:val="24"/>
        </w:rPr>
        <w:t>）</w:t>
      </w:r>
    </w:p>
    <w:p w14:paraId="426F3304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3F0503E2"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>
        <w:rPr>
          <w:rFonts w:hint="eastAsia" w:hAnsi="宋体"/>
          <w:kern w:val="0"/>
          <w:sz w:val="24"/>
        </w:rPr>
        <w:t>随着我国城际轨道交通的不断深入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 w14:paraId="3E72D05D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55B062C4">
      <w:pPr>
        <w:widowControl/>
        <w:snapToGrid w:val="0"/>
        <w:ind w:firstLine="480" w:firstLineChars="20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>
        <w:rPr>
          <w:rFonts w:hint="eastAsia"/>
          <w:kern w:val="0"/>
          <w:sz w:val="24"/>
        </w:rPr>
        <w:t>轨道交通</w:t>
      </w:r>
      <w:r>
        <w:rPr>
          <w:rFonts w:hAnsi="宋体"/>
          <w:kern w:val="0"/>
          <w:sz w:val="24"/>
        </w:rPr>
        <w:t>；</w:t>
      </w:r>
      <w:r>
        <w:rPr>
          <w:rFonts w:hint="eastAsia"/>
          <w:kern w:val="0"/>
          <w:sz w:val="24"/>
        </w:rPr>
        <w:t>甚高频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 w14:paraId="6AC9D104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5B648229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1.研究背景</w:t>
      </w:r>
    </w:p>
    <w:p w14:paraId="39E2348A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近年来，我国的城际轨道交通</w:t>
      </w:r>
      <w:r>
        <w:rPr>
          <w:kern w:val="0"/>
          <w:sz w:val="24"/>
        </w:rPr>
        <w:t>……</w:t>
      </w:r>
    </w:p>
    <w:p w14:paraId="36065D36">
      <w:pPr>
        <w:widowControl/>
        <w:snapToGrid w:val="0"/>
        <w:ind w:firstLine="473"/>
        <w:jc w:val="center"/>
        <w:rPr>
          <w:kern w:val="0"/>
        </w:rPr>
      </w:pPr>
    </w:p>
    <w:p w14:paraId="2D32BA9C">
      <w:pPr>
        <w:widowControl/>
        <w:snapToGrid w:val="0"/>
        <w:ind w:firstLine="473"/>
        <w:jc w:val="center"/>
        <w:rPr>
          <w:kern w:val="0"/>
        </w:rPr>
      </w:pPr>
    </w:p>
    <w:p w14:paraId="0E2DABEC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</w:t>
      </w:r>
      <w:r>
        <w:rPr>
          <w:rFonts w:hint="eastAsia" w:eastAsia="黑体"/>
          <w:kern w:val="0"/>
          <w:sz w:val="24"/>
        </w:rPr>
        <w:t>优化</w:t>
      </w:r>
      <w:r>
        <w:rPr>
          <w:rFonts w:eastAsia="黑体"/>
          <w:kern w:val="0"/>
          <w:sz w:val="24"/>
        </w:rPr>
        <w:t>原理</w:t>
      </w:r>
    </w:p>
    <w:p w14:paraId="09292786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int="eastAsia"/>
          <w:kern w:val="0"/>
          <w:sz w:val="24"/>
        </w:rPr>
        <w:t>优化</w:t>
      </w:r>
      <w:r>
        <w:rPr>
          <w:rFonts w:hAnsi="宋体"/>
          <w:kern w:val="0"/>
          <w:sz w:val="24"/>
        </w:rPr>
        <w:t>思路</w:t>
      </w:r>
    </w:p>
    <w:p w14:paraId="0ADDE84B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int="eastAsia" w:hAnsi="宋体"/>
          <w:kern w:val="0"/>
          <w:sz w:val="24"/>
        </w:rPr>
        <w:t>本算法</w:t>
      </w:r>
      <w:r>
        <w:rPr>
          <w:rFonts w:hAnsi="宋体"/>
          <w:kern w:val="0"/>
          <w:sz w:val="24"/>
        </w:rPr>
        <w:t>是一</w:t>
      </w:r>
      <w:r>
        <w:rPr>
          <w:rFonts w:hint="eastAsia" w:hAnsi="宋体"/>
          <w:kern w:val="0"/>
          <w:sz w:val="24"/>
        </w:rPr>
        <w:t>种</w:t>
      </w:r>
      <w:r>
        <w:rPr>
          <w:kern w:val="0"/>
          <w:sz w:val="24"/>
        </w:rPr>
        <w:t>×××</w:t>
      </w:r>
      <w:r>
        <w:rPr>
          <w:rFonts w:hint="eastAsia" w:hAnsi="宋体"/>
          <w:kern w:val="0"/>
          <w:sz w:val="24"/>
        </w:rPr>
        <w:t>与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……</w:t>
      </w:r>
    </w:p>
    <w:p w14:paraId="7E2549F4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14:paraId="7793052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本研究所采用的是</w:t>
      </w:r>
      <w:r>
        <w:rPr>
          <w:kern w:val="0"/>
          <w:sz w:val="24"/>
        </w:rPr>
        <w:t>×××……</w:t>
      </w:r>
    </w:p>
    <w:p w14:paraId="5E38CDFB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374"/>
        <w:gridCol w:w="1704"/>
        <w:gridCol w:w="1705"/>
        <w:gridCol w:w="1705"/>
      </w:tblGrid>
      <w:tr w14:paraId="767D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000000" w:sz="4" w:space="0"/>
              <w:bottom w:val="single" w:color="000000" w:sz="4" w:space="0"/>
            </w:tcBorders>
          </w:tcPr>
          <w:p w14:paraId="4442EDE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</w:tcBorders>
          </w:tcPr>
          <w:p w14:paraId="56AE6B7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</w:tcPr>
          <w:p w14:paraId="7C5DDAA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 w14:paraId="3799D60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 w14:paraId="23B51F44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1A5D2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" w:type="dxa"/>
            <w:tcBorders>
              <w:top w:val="single" w:color="000000" w:sz="4" w:space="0"/>
              <w:bottom w:val="single" w:color="000000" w:sz="4" w:space="0"/>
            </w:tcBorders>
          </w:tcPr>
          <w:p w14:paraId="3E3A5482">
            <w:pPr>
              <w:widowControl/>
              <w:jc w:val="left"/>
              <w:rPr>
                <w:kern w:val="0"/>
                <w:sz w:val="24"/>
              </w:rPr>
            </w:pPr>
          </w:p>
          <w:p w14:paraId="5EC8CE20">
            <w:pPr>
              <w:widowControl/>
              <w:jc w:val="left"/>
              <w:rPr>
                <w:kern w:val="0"/>
                <w:sz w:val="24"/>
              </w:rPr>
            </w:pPr>
          </w:p>
          <w:p w14:paraId="589885B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bottom w:val="single" w:color="000000" w:sz="4" w:space="0"/>
            </w:tcBorders>
          </w:tcPr>
          <w:p w14:paraId="6E4F242F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bottom w:val="single" w:color="000000" w:sz="4" w:space="0"/>
            </w:tcBorders>
          </w:tcPr>
          <w:p w14:paraId="6D2C0353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 w14:paraId="4C8888DA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bottom w:val="single" w:color="000000" w:sz="4" w:space="0"/>
            </w:tcBorders>
          </w:tcPr>
          <w:p w14:paraId="2CF6FD38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02D4A654">
      <w:pPr>
        <w:widowControl/>
        <w:snapToGrid w:val="0"/>
        <w:ind w:firstLine="540"/>
        <w:jc w:val="center"/>
      </w:pPr>
    </w:p>
    <w:p w14:paraId="32FD9093">
      <w:pPr>
        <w:widowControl/>
        <w:snapToGrid w:val="0"/>
        <w:ind w:firstLine="540"/>
        <w:jc w:val="center"/>
      </w:pPr>
    </w:p>
    <w:p w14:paraId="44A029C0">
      <w:pPr>
        <w:widowControl/>
        <w:snapToGrid w:val="0"/>
        <w:ind w:firstLine="540"/>
        <w:jc w:val="center"/>
        <w:rPr>
          <w:kern w:val="0"/>
          <w:sz w:val="24"/>
        </w:rPr>
      </w:pPr>
      <w:r>
        <w:drawing>
          <wp:inline distT="0" distB="0" distL="0" distR="0">
            <wp:extent cx="3760470" cy="17113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-1" r="597"/>
                    <a:stretch>
                      <a:fillRect/>
                    </a:stretch>
                  </pic:blipFill>
                  <pic:spPr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E8D21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14:paraId="5F2917C8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468249F8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从上述测试结果可知，</w:t>
      </w:r>
      <w:r>
        <w:rPr>
          <w:kern w:val="0"/>
          <w:sz w:val="24"/>
        </w:rPr>
        <w:t>……</w:t>
      </w:r>
    </w:p>
    <w:p w14:paraId="0F5C81AB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6AE7370A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3. 创新特色</w:t>
      </w:r>
    </w:p>
    <w:p w14:paraId="43376422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4. 应用前景(结语)</w:t>
      </w:r>
    </w:p>
    <w:p w14:paraId="3F093C9A">
      <w:pPr>
        <w:widowControl/>
        <w:snapToGrid w:val="0"/>
        <w:jc w:val="left"/>
        <w:rPr>
          <w:rFonts w:eastAsia="黑体"/>
          <w:kern w:val="0"/>
          <w:sz w:val="24"/>
        </w:rPr>
      </w:pPr>
    </w:p>
    <w:p w14:paraId="6066A806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 w14:paraId="5D48E457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[1]xxx.</w:t>
      </w:r>
      <w:r>
        <w:rPr>
          <w:rFonts w:hint="eastAsia"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>[M]. 北京: 中国铁道出版社, 2020.</w:t>
      </w:r>
    </w:p>
    <w:p w14:paraId="506CC89A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[2]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>优化</w:t>
      </w:r>
      <w:r>
        <w:rPr>
          <w:kern w:val="0"/>
          <w:sz w:val="24"/>
          <w:szCs w:val="24"/>
        </w:rPr>
        <w:t>与对策</w:t>
      </w:r>
      <w:r>
        <w:rPr>
          <w:rFonts w:hint="eastAsia"/>
          <w:kern w:val="0"/>
          <w:sz w:val="24"/>
          <w:szCs w:val="24"/>
        </w:rPr>
        <w:t xml:space="preserve"> [J]. 铁道学报, 2022, 5(2): 9-11.</w:t>
      </w:r>
    </w:p>
    <w:p w14:paraId="7858A478">
      <w:pPr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]Orfila, O., Coiret, A., Do, M.T., </w:t>
      </w:r>
      <w:r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</w:t>
      </w:r>
      <w:r>
        <w:rPr>
          <w:rFonts w:hint="eastAsia"/>
          <w:sz w:val="24"/>
          <w:szCs w:val="24"/>
        </w:rPr>
        <w:t>21</w:t>
      </w:r>
      <w:r>
        <w:rPr>
          <w:sz w:val="24"/>
          <w:szCs w:val="24"/>
        </w:rPr>
        <w:t>, 42: 1736-1743</w:t>
      </w:r>
    </w:p>
    <w:sectPr>
      <w:pgSz w:w="11906" w:h="16838"/>
      <w:pgMar w:top="1440" w:right="1800" w:bottom="1440" w:left="1800" w:header="850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ZjRmZTk0M2Q0NGY3NDhhMTJkNGJhZDE3YmNjNjIifQ=="/>
  </w:docVars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100DD5"/>
    <w:rsid w:val="00102BFA"/>
    <w:rsid w:val="00113681"/>
    <w:rsid w:val="00133A62"/>
    <w:rsid w:val="00134927"/>
    <w:rsid w:val="00134CF7"/>
    <w:rsid w:val="00153BA1"/>
    <w:rsid w:val="001633B6"/>
    <w:rsid w:val="001730B4"/>
    <w:rsid w:val="00173DFE"/>
    <w:rsid w:val="00182083"/>
    <w:rsid w:val="00190243"/>
    <w:rsid w:val="00195CFC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60D10"/>
    <w:rsid w:val="00262804"/>
    <w:rsid w:val="00266FF1"/>
    <w:rsid w:val="00275A28"/>
    <w:rsid w:val="00283EF7"/>
    <w:rsid w:val="002A1C54"/>
    <w:rsid w:val="002A21F7"/>
    <w:rsid w:val="002A259D"/>
    <w:rsid w:val="002A70ED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35AA"/>
    <w:rsid w:val="0036695E"/>
    <w:rsid w:val="00373D2D"/>
    <w:rsid w:val="003819E0"/>
    <w:rsid w:val="003903E6"/>
    <w:rsid w:val="00395772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47D7"/>
    <w:rsid w:val="006D4CF6"/>
    <w:rsid w:val="006E0F66"/>
    <w:rsid w:val="006E1C3B"/>
    <w:rsid w:val="006F1B0A"/>
    <w:rsid w:val="006F2A51"/>
    <w:rsid w:val="00703FB8"/>
    <w:rsid w:val="00705780"/>
    <w:rsid w:val="00706606"/>
    <w:rsid w:val="00706FA7"/>
    <w:rsid w:val="00727A0F"/>
    <w:rsid w:val="00745D66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1158B"/>
    <w:rsid w:val="00811B62"/>
    <w:rsid w:val="0081665F"/>
    <w:rsid w:val="00822282"/>
    <w:rsid w:val="008229A2"/>
    <w:rsid w:val="00826C4E"/>
    <w:rsid w:val="00831412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6CD9"/>
    <w:rsid w:val="008E7E9F"/>
    <w:rsid w:val="008F0983"/>
    <w:rsid w:val="008F47B5"/>
    <w:rsid w:val="008F79DA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4A05"/>
    <w:rsid w:val="00A771FC"/>
    <w:rsid w:val="00A81CD0"/>
    <w:rsid w:val="00A83E13"/>
    <w:rsid w:val="00AA181B"/>
    <w:rsid w:val="00AA6B26"/>
    <w:rsid w:val="00AC2DC8"/>
    <w:rsid w:val="00AC55D6"/>
    <w:rsid w:val="00AD3A32"/>
    <w:rsid w:val="00B02F7E"/>
    <w:rsid w:val="00B251C6"/>
    <w:rsid w:val="00B265F3"/>
    <w:rsid w:val="00B31DC0"/>
    <w:rsid w:val="00B46517"/>
    <w:rsid w:val="00B5002D"/>
    <w:rsid w:val="00B527C0"/>
    <w:rsid w:val="00B618A3"/>
    <w:rsid w:val="00B6587C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7060"/>
    <w:rsid w:val="00C02B3F"/>
    <w:rsid w:val="00C03394"/>
    <w:rsid w:val="00C1328E"/>
    <w:rsid w:val="00C17F49"/>
    <w:rsid w:val="00C22C00"/>
    <w:rsid w:val="00C23302"/>
    <w:rsid w:val="00C23E24"/>
    <w:rsid w:val="00C36A16"/>
    <w:rsid w:val="00C36C15"/>
    <w:rsid w:val="00C40E4C"/>
    <w:rsid w:val="00C43261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D09F6"/>
    <w:rsid w:val="00F12276"/>
    <w:rsid w:val="00F215C8"/>
    <w:rsid w:val="00F2380D"/>
    <w:rsid w:val="00F24652"/>
    <w:rsid w:val="00F27325"/>
    <w:rsid w:val="00F27DC9"/>
    <w:rsid w:val="00F309C2"/>
    <w:rsid w:val="00F33E66"/>
    <w:rsid w:val="00F34C17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220E3F2F"/>
    <w:rsid w:val="411E6F86"/>
    <w:rsid w:val="46002190"/>
    <w:rsid w:val="5F97467C"/>
    <w:rsid w:val="64ED63F0"/>
    <w:rsid w:val="69892493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nhideWhenUsed="0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99" w:semiHidden="0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unhideWhenUsed/>
    <w:uiPriority w:val="99"/>
    <w:pPr>
      <w:jc w:val="left"/>
    </w:pPr>
  </w:style>
  <w:style w:type="paragraph" w:styleId="3">
    <w:name w:val="Salutation"/>
    <w:basedOn w:val="1"/>
    <w:next w:val="1"/>
    <w:link w:val="17"/>
    <w:uiPriority w:val="99"/>
    <w:rPr>
      <w:kern w:val="0"/>
      <w:sz w:val="24"/>
      <w:szCs w:val="24"/>
    </w:rPr>
  </w:style>
  <w:style w:type="paragraph" w:styleId="4">
    <w:name w:val="Closing"/>
    <w:basedOn w:val="1"/>
    <w:link w:val="19"/>
    <w:uiPriority w:val="99"/>
    <w:pPr>
      <w:ind w:left="100" w:leftChars="2100"/>
    </w:pPr>
    <w:rPr>
      <w:kern w:val="0"/>
      <w:sz w:val="24"/>
      <w:szCs w:val="24"/>
    </w:rPr>
  </w:style>
  <w:style w:type="paragraph" w:styleId="5">
    <w:name w:val="Date"/>
    <w:basedOn w:val="1"/>
    <w:next w:val="1"/>
    <w:link w:val="21"/>
    <w:semiHidden/>
    <w:uiPriority w:val="99"/>
    <w:pPr>
      <w:ind w:left="100" w:leftChars="2500"/>
    </w:pPr>
    <w:rPr>
      <w:kern w:val="0"/>
      <w:sz w:val="24"/>
      <w:szCs w:val="24"/>
    </w:rPr>
  </w:style>
  <w:style w:type="paragraph" w:styleId="6">
    <w:name w:val="Balloon Text"/>
    <w:basedOn w:val="1"/>
    <w:link w:val="16"/>
    <w:semiHidden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HTML Preformatted"/>
    <w:basedOn w:val="1"/>
    <w:link w:val="1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0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semiHidden/>
    <w:uiPriority w:val="99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称呼 字符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HTML 预设格式 字符"/>
    <w:link w:val="9"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9">
    <w:name w:val="结束语 字符"/>
    <w:link w:val="4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0">
    <w:name w:val="批注主题 字符"/>
    <w:link w:val="10"/>
    <w:semiHidden/>
    <w:qFormat/>
    <w:uiPriority w:val="99"/>
    <w:rPr>
      <w:rFonts w:ascii="Times New Roman" w:hAnsi="Times New Roman"/>
      <w:b/>
      <w:bCs/>
      <w:kern w:val="2"/>
      <w:sz w:val="21"/>
      <w:szCs w:val="21"/>
    </w:rPr>
  </w:style>
  <w:style w:type="character" w:customStyle="1" w:styleId="21">
    <w:name w:val="日期 字符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页眉 字符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25">
    <w:name w:val="Char Char Char1"/>
    <w:basedOn w:val="1"/>
    <w:qFormat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26">
    <w:name w:val="Char Char Char"/>
    <w:basedOn w:val="1"/>
    <w:qFormat/>
    <w:uiPriority w:val="99"/>
    <w:pPr>
      <w:adjustRightInd w:val="0"/>
      <w:spacing w:line="360" w:lineRule="auto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北京工业大学交通研究中心</Company>
  <Pages>2</Pages>
  <Words>757</Words>
  <Characters>986</Characters>
  <Lines>7</Lines>
  <Paragraphs>2</Paragraphs>
  <TotalTime>2</TotalTime>
  <ScaleCrop>false</ScaleCrop>
  <LinksUpToDate>false</LinksUpToDate>
  <CharactersWithSpaces>1026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2020-03-13T06:55:00Z</dcterms:created>
  <dc:creator>全国大学生交通运输科技大赛组委会</dc:creator>
  <cp:lastModifiedBy>mq</cp:lastModifiedBy>
  <cp:lastPrinted>2013-09-02T02:14:00Z</cp:lastPrinted>
  <dcterms:modified xsi:type="dcterms:W3CDTF">2025-02-27T06:17:03Z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CDED9D34B082448080E503D5845DBE17</vt:lpwstr>
  </property>
  <property fmtid="{D5CDD505-2E9C-101B-9397-08002B2CF9AE}" pid="4" name="KSOTemplateDocerSaveRecord">
    <vt:lpwstr>eyJoZGlkIjoiYmUwNGY4NzNiOWFmY2YwNmJkMzFjZDI3YjEwNTE4MGYiLCJ1c2VySWQiOiI1NDUyODgxMTQifQ==</vt:lpwstr>
  </property>
</Properties>
</file>